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CD" w:rsidRPr="00AF3D43" w:rsidRDefault="00366CCD" w:rsidP="00366CCD">
      <w:pPr>
        <w:jc w:val="center"/>
        <w:rPr>
          <w:rFonts w:ascii="Times New Roman" w:hAnsi="Times New Roman"/>
        </w:rPr>
      </w:pPr>
      <w:r w:rsidRPr="00AF3D43">
        <w:rPr>
          <w:rFonts w:ascii="Times New Roman" w:hAnsi="Times New Roman"/>
          <w:b/>
          <w:i/>
          <w:noProof/>
        </w:rPr>
        <w:t>Commissions of Inquiry Act 1950</w:t>
      </w:r>
    </w:p>
    <w:p w:rsidR="00366CCD" w:rsidRPr="00AF3D43" w:rsidRDefault="00366CCD" w:rsidP="00366CCD">
      <w:pPr>
        <w:tabs>
          <w:tab w:val="left" w:pos="3119"/>
        </w:tabs>
        <w:spacing w:before="240"/>
        <w:jc w:val="center"/>
        <w:rPr>
          <w:rFonts w:ascii="Times New Roman" w:hAnsi="Times New Roman"/>
          <w:sz w:val="28"/>
        </w:rPr>
      </w:pPr>
      <w:r w:rsidRPr="00AF3D43">
        <w:rPr>
          <w:rFonts w:ascii="Times New Roman" w:hAnsi="Times New Roman"/>
          <w:b/>
          <w:sz w:val="28"/>
        </w:rPr>
        <w:t>COMMISSIONS OF INQUIRY ORDER (No</w:t>
      </w:r>
      <w:r>
        <w:rPr>
          <w:rFonts w:ascii="Times New Roman" w:hAnsi="Times New Roman"/>
          <w:b/>
          <w:sz w:val="28"/>
        </w:rPr>
        <w:t>.</w:t>
      </w:r>
      <w:r w:rsidRPr="00AF3D43">
        <w:rPr>
          <w:rFonts w:ascii="Times New Roman" w:hAnsi="Times New Roman"/>
          <w:b/>
          <w:sz w:val="28"/>
        </w:rPr>
        <w:t> </w:t>
      </w:r>
      <w:r>
        <w:rPr>
          <w:rFonts w:ascii="Times New Roman" w:hAnsi="Times New Roman"/>
          <w:b/>
          <w:sz w:val="28"/>
        </w:rPr>
        <w:t>1)</w:t>
      </w:r>
      <w:r w:rsidRPr="00AF3D43">
        <w:rPr>
          <w:rFonts w:ascii="Times New Roman" w:hAnsi="Times New Roman"/>
          <w:b/>
          <w:sz w:val="28"/>
        </w:rPr>
        <w:t xml:space="preserve"> 2016</w:t>
      </w:r>
    </w:p>
    <w:p w:rsidR="00366CCD" w:rsidRPr="00AF3D43" w:rsidRDefault="00366CCD" w:rsidP="00366CCD">
      <w:pPr>
        <w:tabs>
          <w:tab w:val="left" w:pos="3119"/>
        </w:tabs>
        <w:jc w:val="both"/>
        <w:rPr>
          <w:rFonts w:ascii="Times New Roman" w:hAnsi="Times New Roman"/>
        </w:rPr>
      </w:pPr>
    </w:p>
    <w:p w:rsidR="00366CCD" w:rsidRPr="00AF3D43" w:rsidRDefault="00366CCD" w:rsidP="00366CCD">
      <w:pPr>
        <w:keepNext/>
        <w:spacing w:before="240" w:after="120"/>
        <w:ind w:left="720" w:hanging="720"/>
        <w:rPr>
          <w:rFonts w:ascii="Times New Roman" w:hAnsi="Times New Roman"/>
          <w:b/>
          <w:bCs/>
          <w:szCs w:val="22"/>
        </w:rPr>
      </w:pPr>
      <w:bookmarkStart w:id="0" w:name="_Toc417990206"/>
      <w:r w:rsidRPr="00AF3D43">
        <w:rPr>
          <w:rFonts w:ascii="Times New Roman" w:hAnsi="Times New Roman"/>
          <w:b/>
          <w:bCs/>
          <w:szCs w:val="22"/>
        </w:rPr>
        <w:t>1</w:t>
      </w:r>
      <w:r w:rsidRPr="00AF3D43">
        <w:rPr>
          <w:rFonts w:ascii="Times New Roman" w:hAnsi="Times New Roman"/>
          <w:b/>
          <w:bCs/>
          <w:szCs w:val="22"/>
        </w:rPr>
        <w:tab/>
        <w:t>Short title</w:t>
      </w:r>
      <w:bookmarkEnd w:id="0"/>
    </w:p>
    <w:p w:rsidR="00366CCD" w:rsidRPr="00AF3D43" w:rsidRDefault="00366CCD" w:rsidP="00366CCD">
      <w:pPr>
        <w:tabs>
          <w:tab w:val="left" w:pos="1134"/>
        </w:tabs>
        <w:spacing w:before="120" w:after="120"/>
        <w:ind w:left="1440"/>
        <w:jc w:val="both"/>
        <w:rPr>
          <w:rFonts w:ascii="Times New Roman" w:hAnsi="Times New Roman"/>
          <w:szCs w:val="24"/>
        </w:rPr>
      </w:pPr>
      <w:r w:rsidRPr="00AF3D43">
        <w:rPr>
          <w:rFonts w:ascii="Times New Roman" w:hAnsi="Times New Roman"/>
        </w:rPr>
        <w:t xml:space="preserve">This Order in Council may be cited as the </w:t>
      </w:r>
      <w:r w:rsidRPr="00AF3D43">
        <w:rPr>
          <w:rFonts w:ascii="Times New Roman" w:hAnsi="Times New Roman"/>
          <w:i/>
        </w:rPr>
        <w:t>Commissions of Inquiry Order (No</w:t>
      </w:r>
      <w:r>
        <w:rPr>
          <w:rFonts w:ascii="Times New Roman" w:hAnsi="Times New Roman"/>
          <w:i/>
        </w:rPr>
        <w:t>.</w:t>
      </w:r>
      <w:r w:rsidRPr="00AF3D43">
        <w:rPr>
          <w:rFonts w:ascii="Times New Roman" w:hAnsi="Times New Roman"/>
          <w:i/>
        </w:rPr>
        <w:t> </w:t>
      </w:r>
      <w:r>
        <w:rPr>
          <w:rFonts w:ascii="Times New Roman" w:hAnsi="Times New Roman"/>
          <w:i/>
        </w:rPr>
        <w:t>1</w:t>
      </w:r>
      <w:r w:rsidRPr="00AF3D43">
        <w:rPr>
          <w:rFonts w:ascii="Times New Roman" w:hAnsi="Times New Roman"/>
          <w:i/>
        </w:rPr>
        <w:t>) 2016</w:t>
      </w:r>
      <w:r w:rsidRPr="00AF3D43">
        <w:rPr>
          <w:rFonts w:ascii="Times New Roman" w:hAnsi="Times New Roman"/>
        </w:rPr>
        <w:t>.</w:t>
      </w:r>
    </w:p>
    <w:p w:rsidR="00366CCD" w:rsidRPr="00AF3D43" w:rsidRDefault="00366CCD" w:rsidP="00366CCD">
      <w:pPr>
        <w:keepNext/>
        <w:spacing w:before="240" w:after="120"/>
        <w:ind w:left="720" w:hanging="720"/>
        <w:rPr>
          <w:rFonts w:ascii="Times New Roman" w:hAnsi="Times New Roman"/>
          <w:b/>
          <w:bCs/>
          <w:szCs w:val="22"/>
        </w:rPr>
      </w:pPr>
      <w:bookmarkStart w:id="1" w:name="_Toc417990207"/>
      <w:r w:rsidRPr="00AF3D43">
        <w:rPr>
          <w:rFonts w:ascii="Times New Roman" w:hAnsi="Times New Roman"/>
          <w:b/>
          <w:bCs/>
          <w:szCs w:val="22"/>
        </w:rPr>
        <w:t>2</w:t>
      </w:r>
      <w:r w:rsidRPr="00AF3D43">
        <w:rPr>
          <w:rFonts w:ascii="Times New Roman" w:hAnsi="Times New Roman"/>
          <w:b/>
          <w:bCs/>
          <w:szCs w:val="22"/>
        </w:rPr>
        <w:tab/>
        <w:t>Commencement</w:t>
      </w:r>
      <w:bookmarkEnd w:id="1"/>
    </w:p>
    <w:p w:rsidR="00366CCD" w:rsidRPr="00AF3D43" w:rsidRDefault="00366CCD" w:rsidP="00366CCD">
      <w:pPr>
        <w:tabs>
          <w:tab w:val="left" w:pos="1134"/>
        </w:tabs>
        <w:spacing w:before="120" w:after="120"/>
        <w:ind w:left="1440"/>
        <w:jc w:val="both"/>
        <w:rPr>
          <w:rFonts w:ascii="Times New Roman" w:hAnsi="Times New Roman"/>
          <w:szCs w:val="24"/>
        </w:rPr>
      </w:pPr>
      <w:r w:rsidRPr="00AF3D43">
        <w:rPr>
          <w:rFonts w:ascii="Times New Roman" w:hAnsi="Times New Roman"/>
          <w:szCs w:val="24"/>
        </w:rPr>
        <w:t xml:space="preserve">This Order in Council </w:t>
      </w:r>
      <w:r w:rsidRPr="00AF3D43">
        <w:rPr>
          <w:rFonts w:ascii="Times New Roman" w:hAnsi="Times New Roman"/>
        </w:rPr>
        <w:t>commences</w:t>
      </w:r>
      <w:r w:rsidRPr="00AF3D43">
        <w:rPr>
          <w:rFonts w:ascii="Times New Roman" w:hAnsi="Times New Roman"/>
          <w:szCs w:val="24"/>
        </w:rPr>
        <w:t xml:space="preserve"> on </w:t>
      </w:r>
      <w:r>
        <w:rPr>
          <w:rFonts w:ascii="Times New Roman" w:hAnsi="Times New Roman"/>
          <w:szCs w:val="24"/>
        </w:rPr>
        <w:t>9 September 2016</w:t>
      </w:r>
      <w:r w:rsidRPr="00AF3D43">
        <w:rPr>
          <w:rFonts w:ascii="Times New Roman" w:hAnsi="Times New Roman"/>
          <w:szCs w:val="24"/>
        </w:rPr>
        <w:t>.</w:t>
      </w:r>
    </w:p>
    <w:p w:rsidR="00366CCD" w:rsidRPr="00AF3D43" w:rsidRDefault="00366CCD" w:rsidP="00366CCD">
      <w:pPr>
        <w:keepNext/>
        <w:spacing w:before="240" w:after="120"/>
        <w:ind w:left="720" w:hanging="720"/>
        <w:rPr>
          <w:rFonts w:ascii="Times New Roman" w:hAnsi="Times New Roman"/>
          <w:b/>
          <w:bCs/>
          <w:szCs w:val="22"/>
        </w:rPr>
      </w:pPr>
      <w:bookmarkStart w:id="2" w:name="_Toc417990208"/>
      <w:r w:rsidRPr="00AF3D43">
        <w:rPr>
          <w:rFonts w:ascii="Times New Roman" w:hAnsi="Times New Roman"/>
          <w:b/>
          <w:bCs/>
          <w:szCs w:val="22"/>
        </w:rPr>
        <w:t>3</w:t>
      </w:r>
      <w:r w:rsidRPr="00AF3D43">
        <w:rPr>
          <w:rFonts w:ascii="Times New Roman" w:hAnsi="Times New Roman"/>
          <w:b/>
          <w:bCs/>
          <w:szCs w:val="22"/>
        </w:rPr>
        <w:tab/>
        <w:t xml:space="preserve">Appointment </w:t>
      </w:r>
    </w:p>
    <w:p w:rsidR="00366CCD" w:rsidRPr="00AF3D43" w:rsidRDefault="00366CCD" w:rsidP="00366CCD">
      <w:pPr>
        <w:tabs>
          <w:tab w:val="left" w:pos="1134"/>
        </w:tabs>
        <w:spacing w:before="120" w:after="120"/>
        <w:ind w:left="1440"/>
        <w:jc w:val="both"/>
        <w:rPr>
          <w:rFonts w:ascii="Times New Roman" w:hAnsi="Times New Roman"/>
        </w:rPr>
      </w:pPr>
      <w:r w:rsidRPr="00AF3D43">
        <w:rPr>
          <w:rFonts w:ascii="Times New Roman" w:hAnsi="Times New Roman"/>
        </w:rPr>
        <w:t xml:space="preserve">The Governor in Council hereby appoints Kathryn McMillan QC and Professor Megan Davis to conduct in </w:t>
      </w:r>
      <w:r>
        <w:rPr>
          <w:rFonts w:ascii="Times New Roman" w:hAnsi="Times New Roman"/>
        </w:rPr>
        <w:t xml:space="preserve">an </w:t>
      </w:r>
      <w:r w:rsidRPr="00AF3D43">
        <w:rPr>
          <w:rFonts w:ascii="Times New Roman" w:hAnsi="Times New Roman"/>
        </w:rPr>
        <w:t>independent manner an inquiry into—</w:t>
      </w:r>
    </w:p>
    <w:p w:rsidR="00366CCD" w:rsidRPr="00AF3D43" w:rsidRDefault="00366CCD" w:rsidP="00366CCD">
      <w:pPr>
        <w:tabs>
          <w:tab w:val="left" w:pos="1134"/>
        </w:tabs>
        <w:spacing w:before="120" w:after="120"/>
        <w:ind w:left="2160" w:hanging="720"/>
        <w:jc w:val="both"/>
        <w:rPr>
          <w:rFonts w:ascii="Times New Roman" w:hAnsi="Times New Roman"/>
        </w:rPr>
      </w:pPr>
      <w:r w:rsidRPr="00AF3D43">
        <w:rPr>
          <w:rFonts w:ascii="Times New Roman" w:hAnsi="Times New Roman"/>
        </w:rPr>
        <w:t>(a)</w:t>
      </w:r>
      <w:r w:rsidRPr="00AF3D43">
        <w:rPr>
          <w:rFonts w:ascii="Times New Roman" w:hAnsi="Times New Roman"/>
        </w:rPr>
        <w:tab/>
      </w:r>
      <w:proofErr w:type="gramStart"/>
      <w:r w:rsidRPr="00AF3D43">
        <w:rPr>
          <w:rFonts w:ascii="Times New Roman" w:hAnsi="Times New Roman"/>
        </w:rPr>
        <w:t>the</w:t>
      </w:r>
      <w:proofErr w:type="gramEnd"/>
      <w:r w:rsidRPr="00AF3D43">
        <w:rPr>
          <w:rFonts w:ascii="Times New Roman" w:hAnsi="Times New Roman"/>
        </w:rPr>
        <w:t xml:space="preserve"> operations of the Cleveland Youth Detention Centre and the Brisbane Youth Detention Centre with respect to the following matters—</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szCs w:val="24"/>
        </w:rPr>
        <w:t>(i)</w:t>
      </w:r>
      <w:r w:rsidRPr="00AF3D43">
        <w:rPr>
          <w:rFonts w:ascii="Times New Roman" w:hAnsi="Times New Roman"/>
          <w:szCs w:val="24"/>
        </w:rPr>
        <w:tab/>
      </w:r>
      <w:proofErr w:type="gramStart"/>
      <w:r w:rsidRPr="00AF3D43">
        <w:rPr>
          <w:rFonts w:ascii="Times New Roman" w:hAnsi="Times New Roman"/>
          <w:szCs w:val="24"/>
        </w:rPr>
        <w:t>a</w:t>
      </w:r>
      <w:proofErr w:type="gramEnd"/>
      <w:r w:rsidRPr="00AF3D43">
        <w:rPr>
          <w:rFonts w:ascii="Times New Roman" w:hAnsi="Times New Roman"/>
          <w:szCs w:val="24"/>
        </w:rPr>
        <w:t xml:space="preserve"> review of the specific allegations of the mistreatment of young people made by former staff members and young people (formerly in youth detention in Queensland) in: </w:t>
      </w:r>
    </w:p>
    <w:p w:rsidR="00366CCD" w:rsidRPr="00AF3D43" w:rsidRDefault="00366CCD" w:rsidP="00366CCD">
      <w:pPr>
        <w:tabs>
          <w:tab w:val="left" w:pos="1134"/>
        </w:tabs>
        <w:spacing w:before="120" w:after="120"/>
        <w:ind w:left="3600" w:hanging="720"/>
        <w:jc w:val="both"/>
        <w:rPr>
          <w:rFonts w:ascii="Times New Roman" w:hAnsi="Times New Roman"/>
          <w:szCs w:val="24"/>
        </w:rPr>
      </w:pPr>
      <w:r w:rsidRPr="00AF3D43">
        <w:rPr>
          <w:rFonts w:ascii="Times New Roman" w:hAnsi="Times New Roman"/>
          <w:szCs w:val="24"/>
        </w:rPr>
        <w:t>(A)</w:t>
      </w:r>
      <w:r w:rsidRPr="00AF3D43">
        <w:rPr>
          <w:rFonts w:ascii="Times New Roman" w:hAnsi="Times New Roman"/>
          <w:szCs w:val="24"/>
        </w:rPr>
        <w:tab/>
        <w:t xml:space="preserve">the Australian Broadcasting Corporation’s </w:t>
      </w:r>
      <w:r w:rsidRPr="00AF3D43">
        <w:rPr>
          <w:rFonts w:ascii="Times New Roman" w:hAnsi="Times New Roman"/>
          <w:i/>
          <w:szCs w:val="24"/>
        </w:rPr>
        <w:t>7:30</w:t>
      </w:r>
      <w:r w:rsidRPr="00AF3D43">
        <w:rPr>
          <w:rFonts w:ascii="Times New Roman" w:hAnsi="Times New Roman"/>
          <w:szCs w:val="24"/>
        </w:rPr>
        <w:t xml:space="preserve"> and </w:t>
      </w:r>
      <w:proofErr w:type="spellStart"/>
      <w:r w:rsidRPr="00AF3D43">
        <w:rPr>
          <w:rFonts w:ascii="Times New Roman" w:hAnsi="Times New Roman"/>
          <w:i/>
          <w:szCs w:val="24"/>
        </w:rPr>
        <w:t>Lateline</w:t>
      </w:r>
      <w:proofErr w:type="spellEnd"/>
      <w:r w:rsidRPr="00AF3D43">
        <w:rPr>
          <w:rFonts w:ascii="Times New Roman" w:hAnsi="Times New Roman"/>
          <w:szCs w:val="24"/>
        </w:rPr>
        <w:t xml:space="preserve"> programs broadcast on Thursday 18 August 2016; and </w:t>
      </w:r>
    </w:p>
    <w:p w:rsidR="00366CCD" w:rsidRPr="00AF3D43" w:rsidRDefault="00366CCD" w:rsidP="00366CCD">
      <w:pPr>
        <w:tabs>
          <w:tab w:val="left" w:pos="1134"/>
        </w:tabs>
        <w:spacing w:before="120" w:after="120"/>
        <w:ind w:left="3544" w:hanging="720"/>
        <w:jc w:val="both"/>
        <w:rPr>
          <w:rFonts w:ascii="Times New Roman" w:hAnsi="Times New Roman"/>
          <w:szCs w:val="24"/>
        </w:rPr>
      </w:pPr>
      <w:r w:rsidRPr="00AF3D43">
        <w:rPr>
          <w:rFonts w:ascii="Times New Roman" w:hAnsi="Times New Roman"/>
          <w:szCs w:val="24"/>
        </w:rPr>
        <w:t>(B)</w:t>
      </w:r>
      <w:r w:rsidRPr="00AF3D43">
        <w:rPr>
          <w:rFonts w:ascii="Times New Roman" w:hAnsi="Times New Roman"/>
          <w:szCs w:val="24"/>
        </w:rPr>
        <w:tab/>
      </w:r>
      <w:proofErr w:type="gramStart"/>
      <w:r w:rsidRPr="00AF3D43">
        <w:rPr>
          <w:rFonts w:ascii="Times New Roman" w:hAnsi="Times New Roman"/>
          <w:szCs w:val="24"/>
        </w:rPr>
        <w:t>other</w:t>
      </w:r>
      <w:proofErr w:type="gramEnd"/>
      <w:r w:rsidRPr="00AF3D43">
        <w:rPr>
          <w:rFonts w:ascii="Times New Roman" w:hAnsi="Times New Roman"/>
          <w:szCs w:val="24"/>
        </w:rPr>
        <w:t xml:space="preserve"> public commentary (including the report by Amnesty International) in relation to those allegations;</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szCs w:val="24"/>
        </w:rPr>
        <w:t>(ii)</w:t>
      </w:r>
      <w:r w:rsidRPr="00AF3D43">
        <w:rPr>
          <w:rFonts w:ascii="Times New Roman" w:hAnsi="Times New Roman"/>
          <w:szCs w:val="24"/>
        </w:rPr>
        <w:tab/>
        <w:t>a review of the policies and practices currently operating within Queensland’s youth detention centres in relation to the use of force, separation, restraints, reporting, monitoring, and complaint and investigation mechanisms for alleged incidents;</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szCs w:val="24"/>
        </w:rPr>
        <w:t>(iii)</w:t>
      </w:r>
      <w:r w:rsidRPr="00AF3D43">
        <w:rPr>
          <w:rFonts w:ascii="Times New Roman" w:hAnsi="Times New Roman"/>
          <w:szCs w:val="24"/>
        </w:rPr>
        <w:tab/>
      </w:r>
      <w:proofErr w:type="gramStart"/>
      <w:r w:rsidRPr="00AF3D43">
        <w:rPr>
          <w:rFonts w:ascii="Times New Roman" w:hAnsi="Times New Roman"/>
          <w:szCs w:val="24"/>
        </w:rPr>
        <w:t>a</w:t>
      </w:r>
      <w:proofErr w:type="gramEnd"/>
      <w:r w:rsidRPr="00AF3D43">
        <w:rPr>
          <w:rFonts w:ascii="Times New Roman" w:hAnsi="Times New Roman"/>
          <w:szCs w:val="24"/>
        </w:rPr>
        <w:t xml:space="preserve"> review of the effectiveness of existing oversight mechanisms which operate in respect of the allegations referred to in paragraph 3(a)(i);</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szCs w:val="24"/>
        </w:rPr>
        <w:t>(iv)</w:t>
      </w:r>
      <w:r w:rsidRPr="00AF3D43">
        <w:rPr>
          <w:rFonts w:ascii="Times New Roman" w:hAnsi="Times New Roman"/>
          <w:szCs w:val="24"/>
        </w:rPr>
        <w:tab/>
        <w:t>with respect to incidents reported under any of the existing oversight mechanisms referred to in paragraph 3(a</w:t>
      </w:r>
      <w:proofErr w:type="gramStart"/>
      <w:r w:rsidRPr="00AF3D43">
        <w:rPr>
          <w:rFonts w:ascii="Times New Roman" w:hAnsi="Times New Roman"/>
          <w:szCs w:val="24"/>
        </w:rPr>
        <w:t>)(</w:t>
      </w:r>
      <w:proofErr w:type="gramEnd"/>
      <w:r w:rsidRPr="00AF3D43">
        <w:rPr>
          <w:rFonts w:ascii="Times New Roman" w:hAnsi="Times New Roman"/>
          <w:szCs w:val="24"/>
        </w:rPr>
        <w:t>iii) since 1 January 2011 (</w:t>
      </w:r>
      <w:r w:rsidRPr="00AF3D43">
        <w:rPr>
          <w:rFonts w:ascii="Times New Roman" w:hAnsi="Times New Roman"/>
          <w:b/>
          <w:i/>
          <w:szCs w:val="24"/>
        </w:rPr>
        <w:t>reported incidents</w:t>
      </w:r>
      <w:r w:rsidRPr="00AF3D43">
        <w:rPr>
          <w:rFonts w:ascii="Times New Roman" w:hAnsi="Times New Roman"/>
          <w:szCs w:val="24"/>
        </w:rPr>
        <w:t>), a review of any specific allegations that the reported incidents were not appropriately investigated or that any action taken as a result of the investigation failed to address the mistreatment of young people in detention in Queensland;</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szCs w:val="24"/>
        </w:rPr>
        <w:t>(v)</w:t>
      </w:r>
      <w:r w:rsidRPr="00AF3D43">
        <w:rPr>
          <w:rFonts w:ascii="Times New Roman" w:hAnsi="Times New Roman"/>
          <w:szCs w:val="24"/>
        </w:rPr>
        <w:tab/>
        <w:t>a review of the effectiveness of current programs and services delivered in Queensland’s youth detention centres that relate to assisting young people to address the causational issues behind their offending behaviour; and</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szCs w:val="24"/>
        </w:rPr>
        <w:t>(vi)</w:t>
      </w:r>
      <w:r w:rsidRPr="00AF3D43">
        <w:rPr>
          <w:rFonts w:ascii="Times New Roman" w:hAnsi="Times New Roman"/>
          <w:szCs w:val="24"/>
        </w:rPr>
        <w:tab/>
        <w:t>a review of the current cultural programs and services delivered in Queensland’s youth detention centres and their effectiveness in addressing the specific needs of Aboriginal and Torres Strait Islander young people in youth detention; and</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(b)</w:t>
      </w:r>
      <w:r w:rsidRPr="00AF3D43">
        <w:rPr>
          <w:rFonts w:ascii="Times New Roman" w:hAnsi="Times New Roman"/>
          <w:szCs w:val="24"/>
        </w:rPr>
        <w:tab/>
      </w:r>
      <w:proofErr w:type="gramStart"/>
      <w:r w:rsidRPr="00AF3D43">
        <w:rPr>
          <w:rFonts w:ascii="Times New Roman" w:hAnsi="Times New Roman"/>
          <w:szCs w:val="24"/>
        </w:rPr>
        <w:t>the</w:t>
      </w:r>
      <w:proofErr w:type="gramEnd"/>
      <w:r w:rsidRPr="00AF3D43">
        <w:rPr>
          <w:rFonts w:ascii="Times New Roman" w:hAnsi="Times New Roman"/>
          <w:szCs w:val="24"/>
        </w:rPr>
        <w:t xml:space="preserve"> operations of Queensland prisons with respect to the following matters—</w:t>
      </w:r>
    </w:p>
    <w:p w:rsidR="00366CCD" w:rsidRPr="00AF3D43" w:rsidRDefault="00366CCD" w:rsidP="00366CCD">
      <w:pPr>
        <w:tabs>
          <w:tab w:val="left" w:pos="1134"/>
        </w:tabs>
        <w:spacing w:before="120" w:after="120"/>
        <w:ind w:left="2880" w:hanging="720"/>
        <w:jc w:val="both"/>
        <w:rPr>
          <w:rFonts w:ascii="Times New Roman" w:hAnsi="Times New Roman"/>
        </w:rPr>
      </w:pPr>
      <w:r w:rsidRPr="00AF3D43">
        <w:rPr>
          <w:rFonts w:ascii="Times New Roman" w:hAnsi="Times New Roman"/>
        </w:rPr>
        <w:t>(i)</w:t>
      </w:r>
      <w:r w:rsidRPr="00AF3D43">
        <w:rPr>
          <w:rFonts w:ascii="Times New Roman" w:hAnsi="Times New Roman"/>
        </w:rPr>
        <w:tab/>
        <w:t xml:space="preserve">a review of the specific allegations of the mistreatment of a 17-year-old prisoner in the Brisbane Correctional Centre made in a report in </w:t>
      </w:r>
      <w:r w:rsidRPr="00AF3D43">
        <w:rPr>
          <w:rFonts w:ascii="Times New Roman" w:hAnsi="Times New Roman"/>
          <w:i/>
        </w:rPr>
        <w:t xml:space="preserve">The Courier-Mail </w:t>
      </w:r>
      <w:r w:rsidRPr="00AF3D43">
        <w:rPr>
          <w:rFonts w:ascii="Times New Roman" w:hAnsi="Times New Roman"/>
        </w:rPr>
        <w:t>on 29 August 2016; and</w:t>
      </w:r>
    </w:p>
    <w:p w:rsidR="00366CCD" w:rsidRPr="00AF3D43" w:rsidRDefault="00366CCD" w:rsidP="00366CCD">
      <w:pPr>
        <w:tabs>
          <w:tab w:val="left" w:pos="1134"/>
        </w:tabs>
        <w:spacing w:before="120" w:after="120"/>
        <w:ind w:left="2880" w:hanging="720"/>
        <w:jc w:val="both"/>
        <w:rPr>
          <w:rFonts w:ascii="Times New Roman" w:hAnsi="Times New Roman"/>
          <w:szCs w:val="24"/>
        </w:rPr>
      </w:pPr>
      <w:r w:rsidRPr="00AF3D43">
        <w:rPr>
          <w:rFonts w:ascii="Times New Roman" w:hAnsi="Times New Roman"/>
        </w:rPr>
        <w:lastRenderedPageBreak/>
        <w:t>(ii)</w:t>
      </w:r>
      <w:r w:rsidRPr="00AF3D43">
        <w:rPr>
          <w:rFonts w:ascii="Times New Roman" w:hAnsi="Times New Roman"/>
        </w:rPr>
        <w:tab/>
      </w:r>
      <w:proofErr w:type="gramStart"/>
      <w:r w:rsidRPr="00AF3D43">
        <w:rPr>
          <w:rFonts w:ascii="Times New Roman" w:hAnsi="Times New Roman"/>
        </w:rPr>
        <w:t>a</w:t>
      </w:r>
      <w:proofErr w:type="gramEnd"/>
      <w:r w:rsidRPr="00AF3D43">
        <w:rPr>
          <w:rFonts w:ascii="Times New Roman" w:hAnsi="Times New Roman"/>
        </w:rPr>
        <w:t xml:space="preserve"> review of the</w:t>
      </w:r>
      <w:r w:rsidRPr="00AF3D43">
        <w:rPr>
          <w:rFonts w:ascii="Times New Roman" w:hAnsi="Times New Roman"/>
          <w:szCs w:val="24"/>
        </w:rPr>
        <w:t xml:space="preserve"> policies and practices currently operating for 17-year</w:t>
      </w:r>
      <w:r w:rsidR="00A623A9">
        <w:rPr>
          <w:rFonts w:ascii="Times New Roman" w:hAnsi="Times New Roman"/>
          <w:szCs w:val="24"/>
        </w:rPr>
        <w:t>-</w:t>
      </w:r>
      <w:r w:rsidRPr="00AF3D43">
        <w:rPr>
          <w:rFonts w:ascii="Times New Roman" w:hAnsi="Times New Roman"/>
          <w:szCs w:val="24"/>
        </w:rPr>
        <w:t>old prisoners within prisons in relation to the use of force, separation, restraints, reporting, monitoring, and complaint and investigation mechanisms for alleged incidents.</w:t>
      </w:r>
    </w:p>
    <w:p w:rsidR="00366CCD" w:rsidRPr="00AF3D43" w:rsidRDefault="00366CCD" w:rsidP="00366CCD">
      <w:pPr>
        <w:keepNext/>
        <w:spacing w:before="240" w:after="120"/>
        <w:ind w:left="720" w:hanging="720"/>
        <w:rPr>
          <w:rFonts w:ascii="Times New Roman" w:hAnsi="Times New Roman"/>
          <w:b/>
          <w:bCs/>
          <w:szCs w:val="22"/>
        </w:rPr>
      </w:pPr>
      <w:bookmarkStart w:id="3" w:name="_Toc417990211"/>
      <w:bookmarkEnd w:id="2"/>
      <w:r w:rsidRPr="00AF3D43">
        <w:rPr>
          <w:rFonts w:ascii="Times New Roman" w:hAnsi="Times New Roman"/>
          <w:b/>
          <w:bCs/>
          <w:szCs w:val="22"/>
        </w:rPr>
        <w:t>4</w:t>
      </w:r>
      <w:r w:rsidRPr="00AF3D43">
        <w:rPr>
          <w:rFonts w:ascii="Times New Roman" w:hAnsi="Times New Roman"/>
          <w:b/>
          <w:bCs/>
          <w:szCs w:val="22"/>
        </w:rPr>
        <w:tab/>
        <w:t>Chairperson</w:t>
      </w:r>
    </w:p>
    <w:p w:rsidR="00366CCD" w:rsidRPr="00AF3D43" w:rsidRDefault="00366CCD" w:rsidP="00366CCD">
      <w:pPr>
        <w:tabs>
          <w:tab w:val="left" w:pos="1134"/>
        </w:tabs>
        <w:spacing w:before="120" w:after="120"/>
        <w:ind w:left="1440"/>
        <w:jc w:val="both"/>
        <w:rPr>
          <w:rFonts w:ascii="Times New Roman" w:hAnsi="Times New Roman"/>
          <w:szCs w:val="24"/>
        </w:rPr>
      </w:pPr>
      <w:r w:rsidRPr="00AF3D43">
        <w:rPr>
          <w:rFonts w:ascii="Times New Roman" w:hAnsi="Times New Roman"/>
          <w:szCs w:val="24"/>
        </w:rPr>
        <w:t xml:space="preserve">For the purposes of the </w:t>
      </w:r>
      <w:r w:rsidRPr="00AF3D43">
        <w:rPr>
          <w:rFonts w:ascii="Times New Roman" w:hAnsi="Times New Roman"/>
          <w:i/>
          <w:szCs w:val="24"/>
        </w:rPr>
        <w:t>Commissions of Inquiry Act 1950</w:t>
      </w:r>
      <w:r w:rsidRPr="00AF3D43">
        <w:rPr>
          <w:rFonts w:ascii="Times New Roman" w:hAnsi="Times New Roman"/>
          <w:szCs w:val="24"/>
        </w:rPr>
        <w:t xml:space="preserve"> the chairperson of the inquiry shall be:</w:t>
      </w:r>
    </w:p>
    <w:p w:rsidR="00366CCD" w:rsidRPr="00AF3D43" w:rsidRDefault="00366CCD" w:rsidP="00366CCD">
      <w:pPr>
        <w:tabs>
          <w:tab w:val="left" w:pos="1134"/>
          <w:tab w:val="left" w:pos="6480"/>
        </w:tabs>
        <w:spacing w:before="120" w:after="120"/>
        <w:ind w:left="2160" w:hanging="720"/>
        <w:jc w:val="both"/>
        <w:rPr>
          <w:rFonts w:ascii="Times New Roman" w:hAnsi="Times New Roman"/>
          <w:szCs w:val="24"/>
        </w:rPr>
      </w:pPr>
      <w:r w:rsidRPr="00AF3D43">
        <w:rPr>
          <w:rFonts w:ascii="Times New Roman" w:hAnsi="Times New Roman"/>
          <w:szCs w:val="24"/>
        </w:rPr>
        <w:t>(a)</w:t>
      </w:r>
      <w:r w:rsidRPr="00AF3D43">
        <w:rPr>
          <w:rFonts w:ascii="Times New Roman" w:hAnsi="Times New Roman"/>
          <w:szCs w:val="24"/>
        </w:rPr>
        <w:tab/>
        <w:t>Ms McMillan; or</w:t>
      </w:r>
      <w:r w:rsidRPr="00AF3D43">
        <w:rPr>
          <w:rFonts w:ascii="Times New Roman" w:hAnsi="Times New Roman"/>
          <w:szCs w:val="24"/>
        </w:rPr>
        <w:tab/>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(b)</w:t>
      </w:r>
      <w:r w:rsidRPr="00AF3D43">
        <w:rPr>
          <w:rFonts w:ascii="Times New Roman" w:hAnsi="Times New Roman"/>
          <w:szCs w:val="24"/>
        </w:rPr>
        <w:tab/>
      </w:r>
      <w:proofErr w:type="gramStart"/>
      <w:r w:rsidRPr="00AF3D43">
        <w:rPr>
          <w:rFonts w:ascii="Times New Roman" w:hAnsi="Times New Roman"/>
          <w:szCs w:val="24"/>
        </w:rPr>
        <w:t>whenever</w:t>
      </w:r>
      <w:proofErr w:type="gramEnd"/>
      <w:r w:rsidRPr="00AF3D43">
        <w:rPr>
          <w:rFonts w:ascii="Times New Roman" w:hAnsi="Times New Roman"/>
          <w:szCs w:val="24"/>
        </w:rPr>
        <w:t xml:space="preserve"> Ms McMillan is absent from duty or unable for any other reason to perform the duties of chairperson—Prof Davis.</w:t>
      </w:r>
    </w:p>
    <w:p w:rsidR="00366CCD" w:rsidRPr="00AF3D43" w:rsidRDefault="00366CCD" w:rsidP="00366CCD">
      <w:pPr>
        <w:keepNext/>
        <w:spacing w:before="240" w:after="120"/>
        <w:ind w:left="720" w:hanging="720"/>
        <w:rPr>
          <w:rFonts w:ascii="Times New Roman" w:hAnsi="Times New Roman"/>
          <w:b/>
          <w:bCs/>
          <w:szCs w:val="22"/>
        </w:rPr>
      </w:pPr>
      <w:r w:rsidRPr="00AF3D43">
        <w:rPr>
          <w:rFonts w:ascii="Times New Roman" w:hAnsi="Times New Roman"/>
          <w:b/>
          <w:bCs/>
          <w:szCs w:val="22"/>
        </w:rPr>
        <w:t>5</w:t>
      </w:r>
      <w:r w:rsidRPr="00AF3D43">
        <w:rPr>
          <w:rFonts w:ascii="Times New Roman" w:hAnsi="Times New Roman"/>
          <w:b/>
          <w:bCs/>
          <w:szCs w:val="22"/>
        </w:rPr>
        <w:tab/>
      </w:r>
      <w:bookmarkEnd w:id="3"/>
      <w:r w:rsidRPr="00AF3D43">
        <w:rPr>
          <w:rFonts w:ascii="Times New Roman" w:hAnsi="Times New Roman"/>
          <w:b/>
          <w:bCs/>
          <w:szCs w:val="22"/>
        </w:rPr>
        <w:t>Procedure</w:t>
      </w:r>
    </w:p>
    <w:p w:rsidR="00366CCD" w:rsidRPr="00AF3D43" w:rsidRDefault="00366CCD" w:rsidP="00366CCD">
      <w:pPr>
        <w:tabs>
          <w:tab w:val="left" w:pos="1134"/>
        </w:tabs>
        <w:spacing w:before="120" w:after="120"/>
        <w:ind w:left="1440"/>
        <w:jc w:val="both"/>
        <w:rPr>
          <w:rFonts w:ascii="Times New Roman" w:hAnsi="Times New Roman"/>
          <w:szCs w:val="24"/>
        </w:rPr>
      </w:pPr>
      <w:r w:rsidRPr="00AF3D43">
        <w:rPr>
          <w:rFonts w:ascii="Times New Roman" w:hAnsi="Times New Roman"/>
          <w:szCs w:val="24"/>
        </w:rPr>
        <w:t>The persons appointed to conduct the inquiry</w:t>
      </w:r>
      <w:r w:rsidRPr="00AF3D43">
        <w:rPr>
          <w:rFonts w:ascii="Times New Roman" w:hAnsi="Times New Roman"/>
        </w:rPr>
        <w:t>—</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(a)</w:t>
      </w:r>
      <w:r w:rsidRPr="00AF3D43">
        <w:rPr>
          <w:rFonts w:ascii="Times New Roman" w:hAnsi="Times New Roman"/>
          <w:szCs w:val="24"/>
        </w:rPr>
        <w:tab/>
      </w:r>
      <w:proofErr w:type="gramStart"/>
      <w:r w:rsidRPr="00AF3D43">
        <w:rPr>
          <w:rFonts w:ascii="Times New Roman" w:hAnsi="Times New Roman"/>
          <w:szCs w:val="24"/>
        </w:rPr>
        <w:t>may</w:t>
      </w:r>
      <w:proofErr w:type="gramEnd"/>
      <w:r w:rsidRPr="00AF3D43">
        <w:rPr>
          <w:rFonts w:ascii="Times New Roman" w:hAnsi="Times New Roman"/>
          <w:szCs w:val="24"/>
        </w:rPr>
        <w:t xml:space="preserve"> receive any document or other material relevant to the terms of reference that they consider appropriate; </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(b)</w:t>
      </w:r>
      <w:r w:rsidRPr="00AF3D43">
        <w:rPr>
          <w:rFonts w:ascii="Times New Roman" w:hAnsi="Times New Roman"/>
          <w:szCs w:val="24"/>
        </w:rPr>
        <w:tab/>
      </w:r>
      <w:proofErr w:type="gramStart"/>
      <w:r w:rsidRPr="00AF3D43">
        <w:rPr>
          <w:rFonts w:ascii="Times New Roman" w:hAnsi="Times New Roman"/>
          <w:szCs w:val="24"/>
        </w:rPr>
        <w:t>may</w:t>
      </w:r>
      <w:proofErr w:type="gramEnd"/>
      <w:r w:rsidRPr="00AF3D43">
        <w:rPr>
          <w:rFonts w:ascii="Times New Roman" w:hAnsi="Times New Roman"/>
          <w:szCs w:val="24"/>
        </w:rPr>
        <w:t xml:space="preserve"> conduct interviews with any person who has information relevant to the terms of reference either with the person’s consent or pursuant to a requirement under section 5 of the </w:t>
      </w:r>
      <w:r w:rsidRPr="00AF3D43">
        <w:rPr>
          <w:rFonts w:ascii="Times New Roman" w:hAnsi="Times New Roman"/>
          <w:i/>
          <w:szCs w:val="24"/>
        </w:rPr>
        <w:t>Commissions of Inquiry Act 1950</w:t>
      </w:r>
      <w:r w:rsidRPr="00AF3D43">
        <w:rPr>
          <w:rFonts w:ascii="Times New Roman" w:hAnsi="Times New Roman"/>
          <w:szCs w:val="24"/>
        </w:rPr>
        <w:t>;</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(c)</w:t>
      </w:r>
      <w:r w:rsidRPr="00AF3D43">
        <w:rPr>
          <w:rFonts w:ascii="Times New Roman" w:hAnsi="Times New Roman"/>
          <w:szCs w:val="24"/>
        </w:rPr>
        <w:tab/>
      </w:r>
      <w:proofErr w:type="gramStart"/>
      <w:r w:rsidRPr="00AF3D43">
        <w:rPr>
          <w:rFonts w:ascii="Times New Roman" w:hAnsi="Times New Roman"/>
          <w:szCs w:val="24"/>
        </w:rPr>
        <w:t>may</w:t>
      </w:r>
      <w:proofErr w:type="gramEnd"/>
      <w:r w:rsidRPr="00AF3D43">
        <w:rPr>
          <w:rFonts w:ascii="Times New Roman" w:hAnsi="Times New Roman"/>
          <w:szCs w:val="24"/>
        </w:rPr>
        <w:t xml:space="preserve"> not conduct public hearings; and</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(d)</w:t>
      </w:r>
      <w:r w:rsidRPr="00AF3D43">
        <w:rPr>
          <w:rFonts w:ascii="Times New Roman" w:hAnsi="Times New Roman"/>
          <w:szCs w:val="24"/>
        </w:rPr>
        <w:tab/>
      </w:r>
      <w:proofErr w:type="gramStart"/>
      <w:r w:rsidRPr="00AF3D43">
        <w:rPr>
          <w:rFonts w:ascii="Times New Roman" w:hAnsi="Times New Roman"/>
          <w:szCs w:val="24"/>
        </w:rPr>
        <w:t>may</w:t>
      </w:r>
      <w:proofErr w:type="gramEnd"/>
      <w:r w:rsidRPr="00AF3D43">
        <w:rPr>
          <w:rFonts w:ascii="Times New Roman" w:hAnsi="Times New Roman"/>
          <w:szCs w:val="24"/>
        </w:rPr>
        <w:t xml:space="preserve"> conduct their proceedings using any technology that allows reasonably contemporaneous and continuous communication.</w:t>
      </w:r>
    </w:p>
    <w:p w:rsidR="00366CCD" w:rsidRPr="00AF3D43" w:rsidRDefault="00366CCD" w:rsidP="00366CCD">
      <w:pPr>
        <w:keepNext/>
        <w:spacing w:before="240" w:after="120"/>
        <w:ind w:left="720" w:hanging="720"/>
        <w:rPr>
          <w:rFonts w:ascii="Times New Roman" w:hAnsi="Times New Roman"/>
          <w:b/>
          <w:bCs/>
          <w:szCs w:val="22"/>
        </w:rPr>
      </w:pPr>
      <w:bookmarkStart w:id="4" w:name="_Toc417990209"/>
      <w:r w:rsidRPr="00AF3D43">
        <w:rPr>
          <w:rFonts w:ascii="Times New Roman" w:hAnsi="Times New Roman"/>
          <w:b/>
          <w:bCs/>
          <w:szCs w:val="22"/>
        </w:rPr>
        <w:t>6</w:t>
      </w:r>
      <w:r w:rsidRPr="00AF3D43">
        <w:rPr>
          <w:rFonts w:ascii="Times New Roman" w:hAnsi="Times New Roman"/>
          <w:b/>
          <w:bCs/>
          <w:szCs w:val="22"/>
        </w:rPr>
        <w:tab/>
        <w:t>Report</w:t>
      </w:r>
      <w:bookmarkEnd w:id="4"/>
    </w:p>
    <w:p w:rsidR="00366CCD" w:rsidRPr="00AF3D43" w:rsidRDefault="00366CCD" w:rsidP="00366CCD">
      <w:pPr>
        <w:spacing w:before="120" w:after="120"/>
        <w:ind w:left="1440" w:hanging="720"/>
        <w:jc w:val="both"/>
        <w:rPr>
          <w:rFonts w:ascii="Times New Roman" w:hAnsi="Times New Roman"/>
          <w:szCs w:val="24"/>
        </w:rPr>
      </w:pPr>
      <w:r w:rsidRPr="00AF3D43">
        <w:rPr>
          <w:rFonts w:ascii="Times New Roman" w:hAnsi="Times New Roman"/>
          <w:szCs w:val="24"/>
        </w:rPr>
        <w:t>(1)</w:t>
      </w:r>
      <w:r w:rsidRPr="00AF3D43">
        <w:rPr>
          <w:rFonts w:ascii="Times New Roman" w:hAnsi="Times New Roman"/>
          <w:szCs w:val="24"/>
        </w:rPr>
        <w:tab/>
        <w:t>The persons appointed to conduct the inquiry shall make full and faithful report on the terms of reference and transmit it to the Honourable the Attorney-General and Minister for Justice and Minister for Training and Skills by 30 November 2016.</w:t>
      </w:r>
    </w:p>
    <w:p w:rsidR="00366CCD" w:rsidRPr="00AF3D43" w:rsidRDefault="00366CCD" w:rsidP="00366CCD">
      <w:pPr>
        <w:spacing w:before="120" w:after="120"/>
        <w:ind w:left="1440" w:hanging="720"/>
        <w:jc w:val="both"/>
        <w:rPr>
          <w:rFonts w:ascii="Times New Roman" w:hAnsi="Times New Roman"/>
          <w:szCs w:val="24"/>
        </w:rPr>
      </w:pPr>
      <w:r w:rsidRPr="00AF3D43">
        <w:rPr>
          <w:rFonts w:ascii="Times New Roman" w:hAnsi="Times New Roman"/>
          <w:szCs w:val="24"/>
        </w:rPr>
        <w:t>(2)</w:t>
      </w:r>
      <w:r w:rsidRPr="00AF3D43">
        <w:rPr>
          <w:rFonts w:ascii="Times New Roman" w:hAnsi="Times New Roman"/>
          <w:szCs w:val="24"/>
        </w:rPr>
        <w:tab/>
        <w:t>The report should include any recommendations about the matters within the terms of reference.</w:t>
      </w:r>
    </w:p>
    <w:p w:rsidR="00366CCD" w:rsidRPr="00AF3D43" w:rsidRDefault="00366CCD" w:rsidP="00366CCD">
      <w:pPr>
        <w:spacing w:before="120" w:after="120"/>
        <w:ind w:left="1440" w:hanging="720"/>
        <w:jc w:val="both"/>
        <w:rPr>
          <w:rFonts w:ascii="Times New Roman" w:hAnsi="Times New Roman"/>
          <w:szCs w:val="24"/>
        </w:rPr>
      </w:pPr>
      <w:r w:rsidRPr="00AF3D43">
        <w:rPr>
          <w:rFonts w:ascii="Times New Roman" w:hAnsi="Times New Roman"/>
          <w:szCs w:val="24"/>
        </w:rPr>
        <w:t>(3)</w:t>
      </w:r>
      <w:r w:rsidRPr="00AF3D43">
        <w:rPr>
          <w:rFonts w:ascii="Times New Roman" w:hAnsi="Times New Roman"/>
          <w:szCs w:val="24"/>
        </w:rPr>
        <w:tab/>
        <w:t>In making any recommendations, the following matters should be considered—</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(a)</w:t>
      </w:r>
      <w:r w:rsidRPr="00AF3D43">
        <w:rPr>
          <w:rFonts w:ascii="Times New Roman" w:hAnsi="Times New Roman"/>
          <w:szCs w:val="24"/>
        </w:rPr>
        <w:tab/>
      </w:r>
      <w:proofErr w:type="gramStart"/>
      <w:r w:rsidRPr="00AF3D43">
        <w:rPr>
          <w:rFonts w:ascii="Times New Roman" w:hAnsi="Times New Roman"/>
          <w:szCs w:val="24"/>
        </w:rPr>
        <w:t>whether</w:t>
      </w:r>
      <w:proofErr w:type="gramEnd"/>
      <w:r w:rsidRPr="00AF3D43">
        <w:rPr>
          <w:rFonts w:ascii="Times New Roman" w:hAnsi="Times New Roman"/>
          <w:szCs w:val="24"/>
        </w:rPr>
        <w:t xml:space="preserve"> the mistreatment of young people in youth detention centres is systemic in Queensland;</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(b)</w:t>
      </w:r>
      <w:r w:rsidRPr="00AF3D43">
        <w:rPr>
          <w:rFonts w:ascii="Times New Roman" w:hAnsi="Times New Roman"/>
          <w:szCs w:val="24"/>
        </w:rPr>
        <w:tab/>
        <w:t>a comparative assessment of the current policies, practices and programs relating to the terms of reference, delivered in youth detention centres in Queensland and other Australian jurisdictions;</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(c)</w:t>
      </w:r>
      <w:r w:rsidRPr="00AF3D43">
        <w:rPr>
          <w:rFonts w:ascii="Times New Roman" w:hAnsi="Times New Roman"/>
          <w:szCs w:val="24"/>
        </w:rPr>
        <w:tab/>
      </w:r>
      <w:proofErr w:type="gramStart"/>
      <w:r w:rsidRPr="00AF3D43">
        <w:rPr>
          <w:rFonts w:ascii="Times New Roman" w:hAnsi="Times New Roman"/>
          <w:szCs w:val="24"/>
        </w:rPr>
        <w:t>whether</w:t>
      </w:r>
      <w:proofErr w:type="gramEnd"/>
      <w:r w:rsidRPr="00AF3D43">
        <w:rPr>
          <w:rFonts w:ascii="Times New Roman" w:hAnsi="Times New Roman"/>
          <w:szCs w:val="24"/>
        </w:rPr>
        <w:t xml:space="preserve"> there are any issues with respect to the matters within the terms of reference that are of specific relevance to Aboriginal and Torres Strait Islander young people;</w:t>
      </w:r>
    </w:p>
    <w:p w:rsidR="00366CCD" w:rsidRPr="00AF3D43" w:rsidRDefault="00366CCD" w:rsidP="00366CCD">
      <w:pPr>
        <w:tabs>
          <w:tab w:val="left" w:pos="1134"/>
        </w:tabs>
        <w:spacing w:before="120" w:after="120"/>
        <w:ind w:left="2160" w:hanging="720"/>
        <w:jc w:val="both"/>
        <w:rPr>
          <w:rFonts w:ascii="Times New Roman" w:hAnsi="Times New Roman"/>
          <w:szCs w:val="24"/>
        </w:rPr>
      </w:pPr>
      <w:r w:rsidRPr="00AF3D43">
        <w:rPr>
          <w:rFonts w:ascii="Times New Roman" w:hAnsi="Times New Roman"/>
          <w:szCs w:val="24"/>
        </w:rPr>
        <w:t>(d)</w:t>
      </w:r>
      <w:r w:rsidRPr="00AF3D43">
        <w:rPr>
          <w:rFonts w:ascii="Times New Roman" w:hAnsi="Times New Roman"/>
          <w:szCs w:val="24"/>
        </w:rPr>
        <w:tab/>
        <w:t xml:space="preserve">any interim measure that should be implemented prior to the transition of </w:t>
      </w:r>
      <w:r w:rsidR="00A623A9">
        <w:rPr>
          <w:rFonts w:ascii="Times New Roman" w:hAnsi="Times New Roman"/>
          <w:szCs w:val="24"/>
        </w:rPr>
        <w:t>17</w:t>
      </w:r>
      <w:bookmarkStart w:id="5" w:name="_GoBack"/>
      <w:bookmarkEnd w:id="5"/>
      <w:r w:rsidRPr="00AF3D43">
        <w:rPr>
          <w:rFonts w:ascii="Times New Roman" w:hAnsi="Times New Roman"/>
          <w:szCs w:val="24"/>
        </w:rPr>
        <w:t>-year</w:t>
      </w:r>
      <w:r>
        <w:rPr>
          <w:rFonts w:ascii="Times New Roman" w:hAnsi="Times New Roman"/>
          <w:szCs w:val="24"/>
        </w:rPr>
        <w:t>-</w:t>
      </w:r>
      <w:r w:rsidRPr="00AF3D43">
        <w:rPr>
          <w:rFonts w:ascii="Times New Roman" w:hAnsi="Times New Roman"/>
          <w:szCs w:val="24"/>
        </w:rPr>
        <w:t xml:space="preserve">olds from prisons to youth detention centres. </w:t>
      </w:r>
    </w:p>
    <w:p w:rsidR="00366CCD" w:rsidRPr="00AF3D43" w:rsidRDefault="00366CCD" w:rsidP="00366CCD">
      <w:pPr>
        <w:keepNext/>
        <w:spacing w:before="240" w:after="120"/>
        <w:ind w:left="720" w:hanging="720"/>
        <w:rPr>
          <w:rFonts w:ascii="Times New Roman" w:hAnsi="Times New Roman"/>
          <w:b/>
          <w:bCs/>
          <w:szCs w:val="22"/>
        </w:rPr>
      </w:pPr>
      <w:bookmarkStart w:id="6" w:name="_Toc417990210"/>
      <w:r w:rsidRPr="00AF3D43">
        <w:rPr>
          <w:rFonts w:ascii="Times New Roman" w:hAnsi="Times New Roman"/>
          <w:b/>
          <w:bCs/>
          <w:szCs w:val="22"/>
        </w:rPr>
        <w:t>7</w:t>
      </w:r>
      <w:r w:rsidRPr="00AF3D43">
        <w:rPr>
          <w:rFonts w:ascii="Times New Roman" w:hAnsi="Times New Roman"/>
          <w:b/>
          <w:bCs/>
          <w:szCs w:val="22"/>
        </w:rPr>
        <w:tab/>
        <w:t>Application of Act</w:t>
      </w:r>
      <w:bookmarkEnd w:id="6"/>
    </w:p>
    <w:p w:rsidR="00366CCD" w:rsidRPr="00AF3D43" w:rsidRDefault="00366CCD" w:rsidP="00366CCD">
      <w:pPr>
        <w:spacing w:before="120" w:after="120"/>
        <w:ind w:left="1440"/>
        <w:jc w:val="both"/>
        <w:rPr>
          <w:rFonts w:ascii="Times New Roman" w:hAnsi="Times New Roman"/>
        </w:rPr>
      </w:pPr>
      <w:r w:rsidRPr="00AF3D43">
        <w:rPr>
          <w:rFonts w:ascii="Times New Roman" w:hAnsi="Times New Roman"/>
        </w:rPr>
        <w:t xml:space="preserve">Pursuant to section 4(2) of the </w:t>
      </w:r>
      <w:r w:rsidRPr="00AF3D43">
        <w:rPr>
          <w:rFonts w:ascii="Times New Roman" w:hAnsi="Times New Roman"/>
          <w:i/>
        </w:rPr>
        <w:t>Commissions of Inquiry Act 1950</w:t>
      </w:r>
      <w:r w:rsidRPr="00AF3D43">
        <w:rPr>
          <w:rFonts w:ascii="Times New Roman" w:hAnsi="Times New Roman"/>
        </w:rPr>
        <w:t>, it is declared that the following provisions of that Act apply for the purposes of the inquiry—</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5 (Power to summon witness and require production of books etc.)</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lastRenderedPageBreak/>
        <w:t>section</w:t>
      </w:r>
      <w:proofErr w:type="gramEnd"/>
      <w:r w:rsidRPr="00AF3D43">
        <w:rPr>
          <w:rFonts w:ascii="Times New Roman" w:hAnsi="Times New Roman"/>
          <w:szCs w:val="24"/>
        </w:rPr>
        <w:t> 14(1A) (Self-incrimination privilege not an excuse for failing to answer question or produce document)</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14A (Statements made by witnesses not admissible in evidence against the witness)</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14B (Protection to and liability of witnesses)</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16 (Power to prohibit publication of evidence)</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17 (Commission not to be bound by rules as to procedure or evidence)</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19 (Powers of inspection)</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19B (Custody of documents)</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20 (Protection for participants)</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25 (Offences)</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31 (Commission may make separate reports)</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32 (Reports may be tabled)</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32A (Disclosure of particular information only if reasonable)</w:t>
      </w:r>
    </w:p>
    <w:p w:rsidR="00366CCD" w:rsidRPr="00AF3D43" w:rsidRDefault="00366CCD" w:rsidP="00366CCD">
      <w:pPr>
        <w:spacing w:before="60"/>
        <w:ind w:left="2160" w:hanging="720"/>
        <w:jc w:val="both"/>
        <w:rPr>
          <w:rFonts w:ascii="Times New Roman" w:hAnsi="Times New Roman"/>
          <w:szCs w:val="24"/>
        </w:rPr>
      </w:pPr>
      <w:proofErr w:type="gramStart"/>
      <w:r w:rsidRPr="00AF3D43">
        <w:rPr>
          <w:rFonts w:ascii="Times New Roman" w:hAnsi="Times New Roman"/>
          <w:szCs w:val="24"/>
        </w:rPr>
        <w:t>section</w:t>
      </w:r>
      <w:proofErr w:type="gramEnd"/>
      <w:r w:rsidRPr="00AF3D43">
        <w:rPr>
          <w:rFonts w:ascii="Times New Roman" w:hAnsi="Times New Roman"/>
          <w:szCs w:val="24"/>
        </w:rPr>
        <w:t xml:space="preserve"> 32B (Confidentiality of information)</w:t>
      </w:r>
    </w:p>
    <w:p w:rsidR="00366CCD" w:rsidRPr="00AF3D43" w:rsidRDefault="00366CCD" w:rsidP="00366CCD">
      <w:pPr>
        <w:keepNext/>
        <w:spacing w:before="240" w:after="120"/>
        <w:ind w:left="720" w:hanging="720"/>
        <w:rPr>
          <w:rFonts w:ascii="Times New Roman" w:hAnsi="Times New Roman"/>
          <w:b/>
          <w:bCs/>
          <w:szCs w:val="22"/>
        </w:rPr>
      </w:pPr>
      <w:r w:rsidRPr="00AF3D43">
        <w:rPr>
          <w:rFonts w:ascii="Times New Roman" w:hAnsi="Times New Roman"/>
          <w:b/>
          <w:bCs/>
          <w:szCs w:val="22"/>
        </w:rPr>
        <w:t>8</w:t>
      </w:r>
      <w:r w:rsidRPr="00AF3D43">
        <w:rPr>
          <w:rFonts w:ascii="Times New Roman" w:hAnsi="Times New Roman"/>
          <w:b/>
          <w:bCs/>
          <w:szCs w:val="22"/>
        </w:rPr>
        <w:tab/>
        <w:t>Definitions</w:t>
      </w:r>
    </w:p>
    <w:p w:rsidR="00366CCD" w:rsidRPr="00AF3D43" w:rsidRDefault="00366CCD" w:rsidP="00366CCD">
      <w:pPr>
        <w:spacing w:before="120" w:after="120"/>
        <w:ind w:left="1440"/>
        <w:jc w:val="both"/>
        <w:rPr>
          <w:rFonts w:ascii="Times New Roman" w:hAnsi="Times New Roman"/>
        </w:rPr>
      </w:pPr>
      <w:r w:rsidRPr="00AF3D43">
        <w:rPr>
          <w:rFonts w:ascii="Times New Roman" w:hAnsi="Times New Roman"/>
        </w:rPr>
        <w:t>In this order in council—</w:t>
      </w:r>
    </w:p>
    <w:p w:rsidR="00366CCD" w:rsidRPr="00AF3D43" w:rsidRDefault="00366CCD" w:rsidP="00366CCD">
      <w:pPr>
        <w:spacing w:before="120" w:after="120"/>
        <w:ind w:left="1440"/>
        <w:jc w:val="both"/>
        <w:rPr>
          <w:rFonts w:ascii="Times New Roman" w:hAnsi="Times New Roman"/>
        </w:rPr>
      </w:pPr>
      <w:proofErr w:type="gramStart"/>
      <w:r w:rsidRPr="00AF3D43">
        <w:rPr>
          <w:rFonts w:ascii="Times New Roman" w:hAnsi="Times New Roman"/>
          <w:b/>
          <w:i/>
        </w:rPr>
        <w:t>prison</w:t>
      </w:r>
      <w:proofErr w:type="gramEnd"/>
      <w:r w:rsidRPr="00AF3D43">
        <w:rPr>
          <w:rFonts w:ascii="Times New Roman" w:hAnsi="Times New Roman"/>
          <w:b/>
          <w:i/>
        </w:rPr>
        <w:t xml:space="preserve"> </w:t>
      </w:r>
      <w:r w:rsidRPr="00AF3D43">
        <w:rPr>
          <w:rFonts w:ascii="Times New Roman" w:hAnsi="Times New Roman"/>
        </w:rPr>
        <w:t xml:space="preserve">has the same meaning as in the </w:t>
      </w:r>
      <w:r w:rsidRPr="00AF3D43">
        <w:rPr>
          <w:rFonts w:ascii="Times New Roman" w:hAnsi="Times New Roman"/>
          <w:i/>
        </w:rPr>
        <w:t>Corrective Services Act 2006</w:t>
      </w:r>
      <w:r w:rsidRPr="00AF3D43">
        <w:rPr>
          <w:rFonts w:ascii="Times New Roman" w:hAnsi="Times New Roman"/>
        </w:rPr>
        <w:t>.</w:t>
      </w:r>
    </w:p>
    <w:p w:rsidR="00366CCD" w:rsidRPr="00AF3D43" w:rsidRDefault="00366CCD" w:rsidP="00366CCD">
      <w:pPr>
        <w:spacing w:before="120" w:after="120"/>
        <w:ind w:left="1440"/>
        <w:jc w:val="both"/>
        <w:rPr>
          <w:rFonts w:ascii="Times New Roman" w:hAnsi="Times New Roman"/>
        </w:rPr>
      </w:pPr>
      <w:proofErr w:type="gramStart"/>
      <w:r w:rsidRPr="00AF3D43">
        <w:rPr>
          <w:rFonts w:ascii="Times New Roman" w:hAnsi="Times New Roman"/>
          <w:b/>
          <w:i/>
        </w:rPr>
        <w:t>prisoner</w:t>
      </w:r>
      <w:proofErr w:type="gramEnd"/>
      <w:r w:rsidRPr="00AF3D43">
        <w:rPr>
          <w:rFonts w:ascii="Times New Roman" w:hAnsi="Times New Roman"/>
          <w:b/>
          <w:i/>
        </w:rPr>
        <w:t xml:space="preserve"> </w:t>
      </w:r>
      <w:r w:rsidRPr="00AF3D43">
        <w:rPr>
          <w:rFonts w:ascii="Times New Roman" w:hAnsi="Times New Roman"/>
        </w:rPr>
        <w:t xml:space="preserve">has the same meaning as in the </w:t>
      </w:r>
      <w:r w:rsidRPr="00AF3D43">
        <w:rPr>
          <w:rFonts w:ascii="Times New Roman" w:hAnsi="Times New Roman"/>
          <w:i/>
        </w:rPr>
        <w:t>Corrective Services Act 2006</w:t>
      </w:r>
      <w:r w:rsidRPr="00AF3D43">
        <w:rPr>
          <w:rFonts w:ascii="Times New Roman" w:hAnsi="Times New Roman"/>
        </w:rPr>
        <w:t>.</w:t>
      </w:r>
    </w:p>
    <w:p w:rsidR="00366CCD" w:rsidRPr="00AF3D43" w:rsidRDefault="00366CCD" w:rsidP="00366CCD">
      <w:pPr>
        <w:spacing w:before="120" w:after="120"/>
        <w:ind w:left="1440"/>
        <w:jc w:val="both"/>
        <w:rPr>
          <w:rFonts w:ascii="Times New Roman" w:hAnsi="Times New Roman"/>
        </w:rPr>
      </w:pPr>
      <w:proofErr w:type="gramStart"/>
      <w:r w:rsidRPr="00AF3D43">
        <w:rPr>
          <w:rFonts w:ascii="Times New Roman" w:hAnsi="Times New Roman"/>
          <w:b/>
          <w:i/>
        </w:rPr>
        <w:t>terms</w:t>
      </w:r>
      <w:proofErr w:type="gramEnd"/>
      <w:r w:rsidRPr="00AF3D43">
        <w:rPr>
          <w:rFonts w:ascii="Times New Roman" w:hAnsi="Times New Roman"/>
          <w:b/>
          <w:i/>
        </w:rPr>
        <w:t xml:space="preserve"> of reference </w:t>
      </w:r>
      <w:r w:rsidRPr="00AF3D43">
        <w:rPr>
          <w:rFonts w:ascii="Times New Roman" w:hAnsi="Times New Roman"/>
        </w:rPr>
        <w:t>means the subject-matter specified in paragraph 3.</w:t>
      </w:r>
    </w:p>
    <w:p w:rsidR="00366CCD" w:rsidRPr="00AF3D43" w:rsidRDefault="00366CCD" w:rsidP="00366CCD">
      <w:pPr>
        <w:spacing w:before="120" w:after="120"/>
        <w:ind w:left="1440"/>
        <w:jc w:val="both"/>
        <w:rPr>
          <w:rFonts w:ascii="Times New Roman" w:hAnsi="Times New Roman"/>
          <w:szCs w:val="24"/>
        </w:rPr>
      </w:pPr>
      <w:proofErr w:type="gramStart"/>
      <w:r w:rsidRPr="00AF3D43">
        <w:rPr>
          <w:rFonts w:ascii="Times New Roman" w:hAnsi="Times New Roman"/>
          <w:b/>
          <w:i/>
        </w:rPr>
        <w:t>youth</w:t>
      </w:r>
      <w:proofErr w:type="gramEnd"/>
      <w:r w:rsidRPr="00AF3D43">
        <w:rPr>
          <w:rFonts w:ascii="Times New Roman" w:hAnsi="Times New Roman"/>
          <w:b/>
          <w:i/>
        </w:rPr>
        <w:t xml:space="preserve"> detention centre </w:t>
      </w:r>
      <w:r w:rsidRPr="00AF3D43">
        <w:rPr>
          <w:rFonts w:ascii="Times New Roman" w:hAnsi="Times New Roman"/>
        </w:rPr>
        <w:t xml:space="preserve">has the same meaning as in the </w:t>
      </w:r>
      <w:r w:rsidRPr="00AF3D43">
        <w:rPr>
          <w:rFonts w:ascii="Times New Roman" w:hAnsi="Times New Roman"/>
          <w:i/>
        </w:rPr>
        <w:t>Youth Justice Act 1992</w:t>
      </w:r>
      <w:r w:rsidRPr="00AF3D43">
        <w:rPr>
          <w:rFonts w:ascii="Times New Roman" w:hAnsi="Times New Roman"/>
        </w:rPr>
        <w:t>.</w:t>
      </w:r>
    </w:p>
    <w:p w:rsidR="00366CCD" w:rsidRPr="00AF3D43" w:rsidRDefault="00366CCD" w:rsidP="00366CCD">
      <w:pPr>
        <w:tabs>
          <w:tab w:val="left" w:pos="3119"/>
        </w:tabs>
        <w:jc w:val="center"/>
        <w:rPr>
          <w:rFonts w:ascii="Times New Roman" w:hAnsi="Times New Roman"/>
          <w:b/>
          <w:szCs w:val="24"/>
        </w:rPr>
      </w:pPr>
      <w:r w:rsidRPr="00AF3D43">
        <w:rPr>
          <w:rFonts w:ascii="Times New Roman" w:hAnsi="Times New Roman"/>
          <w:b/>
          <w:szCs w:val="24"/>
        </w:rPr>
        <w:t>___________</w:t>
      </w:r>
    </w:p>
    <w:p w:rsidR="00366CCD" w:rsidRPr="00AF3D43" w:rsidRDefault="00366CCD" w:rsidP="00366CCD">
      <w:pPr>
        <w:tabs>
          <w:tab w:val="left" w:pos="1134"/>
        </w:tabs>
        <w:jc w:val="center"/>
        <w:rPr>
          <w:rFonts w:ascii="Times New Roman" w:hAnsi="Times New Roman"/>
          <w:b/>
          <w:sz w:val="18"/>
        </w:rPr>
      </w:pPr>
    </w:p>
    <w:p w:rsidR="00366CCD" w:rsidRPr="00AF3D43" w:rsidRDefault="00366CCD" w:rsidP="00366CCD">
      <w:pPr>
        <w:tabs>
          <w:tab w:val="left" w:pos="1134"/>
        </w:tabs>
        <w:jc w:val="center"/>
        <w:rPr>
          <w:rFonts w:ascii="Times New Roman" w:hAnsi="Times New Roman"/>
          <w:b/>
          <w:sz w:val="18"/>
        </w:rPr>
      </w:pPr>
      <w:r w:rsidRPr="00AF3D43">
        <w:rPr>
          <w:rFonts w:ascii="Times New Roman" w:hAnsi="Times New Roman"/>
          <w:b/>
          <w:sz w:val="18"/>
        </w:rPr>
        <w:t>ENDNOTES</w:t>
      </w:r>
    </w:p>
    <w:p w:rsidR="00366CCD" w:rsidRPr="00AF3D43" w:rsidRDefault="00366CCD" w:rsidP="00366CCD">
      <w:pPr>
        <w:tabs>
          <w:tab w:val="left" w:pos="1134"/>
        </w:tabs>
        <w:jc w:val="center"/>
        <w:rPr>
          <w:rFonts w:ascii="Times New Roman" w:hAnsi="Times New Roman"/>
          <w:sz w:val="18"/>
        </w:rPr>
      </w:pPr>
    </w:p>
    <w:p w:rsidR="00366CCD" w:rsidRPr="00AF3D43" w:rsidRDefault="00366CCD" w:rsidP="00366CCD">
      <w:pPr>
        <w:tabs>
          <w:tab w:val="left" w:pos="567"/>
        </w:tabs>
        <w:jc w:val="both"/>
        <w:rPr>
          <w:rFonts w:ascii="Times New Roman" w:hAnsi="Times New Roman"/>
          <w:sz w:val="18"/>
        </w:rPr>
      </w:pPr>
      <w:r w:rsidRPr="00AF3D43">
        <w:rPr>
          <w:rFonts w:ascii="Times New Roman" w:hAnsi="Times New Roman"/>
          <w:sz w:val="18"/>
        </w:rPr>
        <w:t>1.</w:t>
      </w:r>
      <w:r w:rsidRPr="00AF3D43">
        <w:rPr>
          <w:rFonts w:ascii="Times New Roman" w:hAnsi="Times New Roman"/>
          <w:sz w:val="18"/>
        </w:rPr>
        <w:tab/>
        <w:t>Made by the Governor in Council on </w:t>
      </w:r>
      <w:r>
        <w:rPr>
          <w:rFonts w:ascii="Times New Roman" w:hAnsi="Times New Roman"/>
          <w:sz w:val="18"/>
        </w:rPr>
        <w:t>8 September</w:t>
      </w:r>
      <w:r w:rsidRPr="00AF3D43">
        <w:rPr>
          <w:rFonts w:ascii="Times New Roman" w:hAnsi="Times New Roman"/>
          <w:sz w:val="18"/>
        </w:rPr>
        <w:t xml:space="preserve"> 2016. </w:t>
      </w:r>
    </w:p>
    <w:p w:rsidR="00366CCD" w:rsidRPr="00AF3D43" w:rsidRDefault="00366CCD" w:rsidP="00366CCD">
      <w:pPr>
        <w:tabs>
          <w:tab w:val="left" w:pos="567"/>
        </w:tabs>
        <w:jc w:val="both"/>
        <w:rPr>
          <w:rFonts w:ascii="Times New Roman" w:hAnsi="Times New Roman"/>
          <w:sz w:val="18"/>
        </w:rPr>
      </w:pPr>
      <w:r w:rsidRPr="00AF3D43">
        <w:rPr>
          <w:rFonts w:ascii="Times New Roman" w:hAnsi="Times New Roman"/>
          <w:sz w:val="18"/>
        </w:rPr>
        <w:t>2</w:t>
      </w:r>
      <w:r>
        <w:rPr>
          <w:rFonts w:ascii="Times New Roman" w:hAnsi="Times New Roman"/>
          <w:sz w:val="18"/>
        </w:rPr>
        <w:t>.</w:t>
      </w:r>
      <w:r>
        <w:rPr>
          <w:rFonts w:ascii="Times New Roman" w:hAnsi="Times New Roman"/>
          <w:sz w:val="18"/>
        </w:rPr>
        <w:tab/>
        <w:t>Notified in the Gazette on 9 September 2016.</w:t>
      </w:r>
      <w:r w:rsidRPr="00AF3D43">
        <w:rPr>
          <w:rFonts w:ascii="Times New Roman" w:hAnsi="Times New Roman"/>
          <w:sz w:val="18"/>
        </w:rPr>
        <w:t>    </w:t>
      </w:r>
      <w:r>
        <w:rPr>
          <w:rFonts w:ascii="Times New Roman" w:hAnsi="Times New Roman"/>
          <w:sz w:val="18"/>
        </w:rPr>
        <w:t xml:space="preserve">                                                 </w:t>
      </w:r>
      <w:r w:rsidRPr="00AF3D43">
        <w:rPr>
          <w:rFonts w:ascii="Times New Roman" w:hAnsi="Times New Roman"/>
          <w:sz w:val="18"/>
        </w:rPr>
        <w:t xml:space="preserve">. </w:t>
      </w:r>
    </w:p>
    <w:p w:rsidR="00366CCD" w:rsidRPr="00AF3D43" w:rsidRDefault="00366CCD" w:rsidP="00366CCD">
      <w:pPr>
        <w:tabs>
          <w:tab w:val="left" w:pos="567"/>
        </w:tabs>
        <w:jc w:val="both"/>
        <w:rPr>
          <w:rFonts w:ascii="Times New Roman" w:hAnsi="Times New Roman"/>
          <w:sz w:val="18"/>
        </w:rPr>
      </w:pPr>
      <w:r w:rsidRPr="00AF3D43">
        <w:rPr>
          <w:rFonts w:ascii="Times New Roman" w:hAnsi="Times New Roman"/>
          <w:sz w:val="18"/>
        </w:rPr>
        <w:t>3.</w:t>
      </w:r>
      <w:r w:rsidRPr="00AF3D43">
        <w:rPr>
          <w:rFonts w:ascii="Times New Roman" w:hAnsi="Times New Roman"/>
          <w:sz w:val="18"/>
        </w:rPr>
        <w:tab/>
        <w:t>Not required to be laid before the Legislative Assembly.</w:t>
      </w:r>
    </w:p>
    <w:p w:rsidR="00366CCD" w:rsidRPr="00AF3D43" w:rsidRDefault="00366CCD" w:rsidP="00366CCD">
      <w:pPr>
        <w:tabs>
          <w:tab w:val="left" w:pos="567"/>
        </w:tabs>
        <w:jc w:val="both"/>
        <w:rPr>
          <w:rFonts w:ascii="Times New Roman" w:hAnsi="Times New Roman"/>
        </w:rPr>
      </w:pPr>
      <w:r w:rsidRPr="00AF3D43">
        <w:rPr>
          <w:rFonts w:ascii="Times New Roman" w:hAnsi="Times New Roman"/>
          <w:sz w:val="18"/>
        </w:rPr>
        <w:t>4.</w:t>
      </w:r>
      <w:r w:rsidRPr="00AF3D43">
        <w:rPr>
          <w:rFonts w:ascii="Times New Roman" w:hAnsi="Times New Roman"/>
          <w:sz w:val="18"/>
        </w:rPr>
        <w:tab/>
        <w:t>The administering agency is the Department of Justice and Attorney-General.</w:t>
      </w:r>
    </w:p>
    <w:p w:rsidR="00366CCD" w:rsidRPr="000A54E7" w:rsidRDefault="00366CCD" w:rsidP="00366CCD">
      <w:pPr>
        <w:jc w:val="center"/>
        <w:outlineLvl w:val="0"/>
        <w:rPr>
          <w:rFonts w:ascii="Times New Roman" w:hAnsi="Times New Roman"/>
          <w:sz w:val="20"/>
        </w:rPr>
      </w:pPr>
    </w:p>
    <w:p w:rsidR="00BD17D5" w:rsidRDefault="00BD17D5"/>
    <w:sectPr w:rsidR="00BD17D5" w:rsidSect="00655700">
      <w:headerReference w:type="default" r:id="rId6"/>
      <w:footerReference w:type="even" r:id="rId7"/>
      <w:footerReference w:type="default" r:id="rId8"/>
      <w:footerReference w:type="first" r:id="rId9"/>
      <w:pgSz w:w="11907" w:h="16840" w:code="9"/>
      <w:pgMar w:top="1440" w:right="1418" w:bottom="1440" w:left="1418" w:header="720" w:footer="11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23A9">
      <w:r>
        <w:separator/>
      </w:r>
    </w:p>
  </w:endnote>
  <w:endnote w:type="continuationSeparator" w:id="0">
    <w:p w:rsidR="00000000" w:rsidRDefault="00A6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00" w:rsidRPr="00136C3F" w:rsidRDefault="00A623A9" w:rsidP="00655700">
    <w:pPr>
      <w:pStyle w:val="Footer"/>
      <w:rPr>
        <w:sz w:val="16"/>
      </w:rPr>
    </w:pPr>
    <w:r w:rsidRPr="00136C3F">
      <w:rPr>
        <w:sz w:val="16"/>
      </w:rPr>
      <w:t>Document No: 5901568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00" w:rsidRDefault="00A623A9" w:rsidP="00655700">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655700" w:rsidRPr="00136C3F" w:rsidRDefault="00A623A9" w:rsidP="00655700">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00" w:rsidRPr="00136C3F" w:rsidRDefault="00A623A9" w:rsidP="00655700">
    <w:pPr>
      <w:pStyle w:val="Footer"/>
      <w:rPr>
        <w:sz w:val="16"/>
      </w:rPr>
    </w:pPr>
    <w:r w:rsidRPr="00136C3F">
      <w:rPr>
        <w:sz w:val="16"/>
      </w:rPr>
      <w:t>Document No: 5901568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23A9">
      <w:r>
        <w:separator/>
      </w:r>
    </w:p>
  </w:footnote>
  <w:footnote w:type="continuationSeparator" w:id="0">
    <w:p w:rsidR="00000000" w:rsidRDefault="00A6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00" w:rsidRDefault="00A62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CD"/>
    <w:rsid w:val="00366CCD"/>
    <w:rsid w:val="00855A75"/>
    <w:rsid w:val="00A623A9"/>
    <w:rsid w:val="00BD17D5"/>
    <w:rsid w:val="00D85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003DC-7422-4B20-A4E9-3AE4E1E8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CD"/>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6CCD"/>
    <w:pPr>
      <w:tabs>
        <w:tab w:val="center" w:pos="4819"/>
        <w:tab w:val="right" w:pos="9071"/>
      </w:tabs>
      <w:textAlignment w:val="baseline"/>
    </w:pPr>
    <w:rPr>
      <w:rFonts w:ascii="CG Times (WN)" w:hAnsi="CG Times (WN)"/>
      <w:sz w:val="24"/>
      <w:lang w:eastAsia="en-AU"/>
    </w:rPr>
  </w:style>
  <w:style w:type="character" w:customStyle="1" w:styleId="HeaderChar">
    <w:name w:val="Header Char"/>
    <w:basedOn w:val="DefaultParagraphFont"/>
    <w:link w:val="Header"/>
    <w:rsid w:val="00366CCD"/>
    <w:rPr>
      <w:rFonts w:ascii="CG Times (WN)" w:eastAsia="Times New Roman" w:hAnsi="CG Times (WN)" w:cs="Times New Roman"/>
      <w:sz w:val="24"/>
      <w:szCs w:val="20"/>
      <w:lang w:eastAsia="en-AU"/>
    </w:rPr>
  </w:style>
  <w:style w:type="paragraph" w:styleId="Footer">
    <w:name w:val="footer"/>
    <w:basedOn w:val="Normal"/>
    <w:link w:val="FooterChar"/>
    <w:rsid w:val="00366CCD"/>
    <w:pPr>
      <w:tabs>
        <w:tab w:val="center" w:pos="4153"/>
        <w:tab w:val="right" w:pos="8306"/>
      </w:tabs>
      <w:textAlignment w:val="baseline"/>
    </w:pPr>
    <w:rPr>
      <w:rFonts w:ascii="CG Times (W1)" w:hAnsi="CG Times (W1)"/>
      <w:sz w:val="24"/>
      <w:lang w:eastAsia="en-AU"/>
    </w:rPr>
  </w:style>
  <w:style w:type="character" w:customStyle="1" w:styleId="FooterChar">
    <w:name w:val="Footer Char"/>
    <w:basedOn w:val="DefaultParagraphFont"/>
    <w:link w:val="Footer"/>
    <w:rsid w:val="00366CCD"/>
    <w:rPr>
      <w:rFonts w:ascii="CG Times (W1)" w:eastAsia="Times New Roman" w:hAnsi="CG Times (W1)" w:cs="Times New Roman"/>
      <w:sz w:val="24"/>
      <w:szCs w:val="20"/>
      <w:lang w:eastAsia="en-AU"/>
    </w:rPr>
  </w:style>
  <w:style w:type="character" w:styleId="PageNumber">
    <w:name w:val="page number"/>
    <w:basedOn w:val="DefaultParagraphFont"/>
    <w:rsid w:val="0036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Yorke</dc:creator>
  <cp:keywords/>
  <dc:description/>
  <cp:lastModifiedBy>MORAN Jacinta</cp:lastModifiedBy>
  <cp:revision>3</cp:revision>
  <dcterms:created xsi:type="dcterms:W3CDTF">2016-10-06T22:53:00Z</dcterms:created>
  <dcterms:modified xsi:type="dcterms:W3CDTF">2016-10-06T22:54:00Z</dcterms:modified>
</cp:coreProperties>
</file>